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B" w:rsidRPr="00F9703E" w:rsidRDefault="00F9703E" w:rsidP="0045346B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Pr="00631FC2">
        <w:rPr>
          <w:rFonts w:asciiTheme="majorHAnsi" w:hAnsiTheme="majorHAnsi" w:cstheme="majorHAnsi"/>
          <w:b/>
          <w:bCs/>
          <w:i/>
          <w:color w:val="000000"/>
          <w:sz w:val="32"/>
          <w:szCs w:val="32"/>
          <w:lang w:val="ru-RU"/>
        </w:rPr>
        <w:t>А/П 8.13.3</w:t>
      </w:r>
      <w:r w:rsidRPr="00631FC2">
        <w:rPr>
          <w:rFonts w:asciiTheme="majorHAnsi" w:hAnsiTheme="majorHAnsi" w:cstheme="majorHAnsi"/>
          <w:b/>
          <w:bCs/>
          <w:i/>
          <w:color w:val="000000"/>
          <w:sz w:val="32"/>
          <w:szCs w:val="32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7"/>
        <w:gridCol w:w="4648"/>
      </w:tblGrid>
      <w:tr w:rsidR="0045346B" w:rsidRPr="0045346B" w:rsidTr="00C82C82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46B" w:rsidRPr="00E76AD9" w:rsidRDefault="0045346B" w:rsidP="00C82C8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46B" w:rsidRPr="0045346B" w:rsidRDefault="0045346B" w:rsidP="00C82C82">
            <w:pPr>
              <w:spacing w:after="2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Приложение 5</w:t>
            </w:r>
          </w:p>
          <w:p w:rsidR="0045346B" w:rsidRPr="0045346B" w:rsidRDefault="0045346B" w:rsidP="00C82C82">
            <w:pPr>
              <w:rPr>
                <w:rFonts w:eastAsia="Times New Roman"/>
                <w:lang w:val="ru-RU" w:eastAsia="ru-RU"/>
              </w:rPr>
            </w:pP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к Положению о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порядке выдачи, продления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действия, переоформления и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прекращения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действия разрешения на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размещение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средства наружной рекламы</w:t>
            </w:r>
            <w:r w:rsidRPr="0045346B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</w:tbl>
    <w:p w:rsidR="0045346B" w:rsidRPr="0045346B" w:rsidRDefault="0045346B" w:rsidP="0045346B">
      <w:pPr>
        <w:rPr>
          <w:rFonts w:eastAsia="Times New Roman"/>
          <w:sz w:val="24"/>
          <w:szCs w:val="24"/>
          <w:lang w:val="ru-RU" w:eastAsia="ru-RU"/>
        </w:rPr>
      </w:pPr>
      <w:r w:rsidRPr="00E76AD9">
        <w:rPr>
          <w:rFonts w:eastAsia="Times New Roman"/>
          <w:sz w:val="24"/>
          <w:szCs w:val="24"/>
          <w:lang w:eastAsia="ru-RU"/>
        </w:rPr>
        <w:t> </w:t>
      </w:r>
      <w:r w:rsidRPr="0045346B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45346B" w:rsidRPr="0045346B" w:rsidRDefault="0045346B" w:rsidP="0045346B">
      <w:pPr>
        <w:jc w:val="right"/>
        <w:rPr>
          <w:rFonts w:eastAsia="Times New Roman"/>
          <w:lang w:val="ru-RU" w:eastAsia="ru-RU"/>
        </w:rPr>
      </w:pPr>
      <w:r w:rsidRPr="0045346B">
        <w:rPr>
          <w:rFonts w:eastAsia="Times New Roman"/>
          <w:lang w:val="ru-RU" w:eastAsia="ru-RU"/>
        </w:rPr>
        <w:t>Форма</w:t>
      </w:r>
    </w:p>
    <w:p w:rsidR="0045346B" w:rsidRPr="0045346B" w:rsidRDefault="0045346B" w:rsidP="0045346B">
      <w:pPr>
        <w:ind w:firstLine="567"/>
        <w:rPr>
          <w:rFonts w:eastAsia="Times New Roman"/>
          <w:sz w:val="24"/>
          <w:szCs w:val="24"/>
          <w:lang w:val="ru-RU" w:eastAsia="ru-RU"/>
        </w:rPr>
      </w:pPr>
      <w:r w:rsidRPr="00E76AD9">
        <w:rPr>
          <w:rFonts w:eastAsia="Times New Roman"/>
          <w:sz w:val="24"/>
          <w:szCs w:val="24"/>
          <w:lang w:eastAsia="ru-RU"/>
        </w:rPr>
        <w:t> </w:t>
      </w:r>
    </w:p>
    <w:p w:rsidR="0045346B" w:rsidRPr="0045346B" w:rsidRDefault="0045346B" w:rsidP="0045346B">
      <w:pPr>
        <w:jc w:val="right"/>
        <w:rPr>
          <w:rFonts w:eastAsia="Times New Roman"/>
          <w:sz w:val="24"/>
          <w:szCs w:val="24"/>
          <w:lang w:val="ru-RU" w:eastAsia="ru-RU"/>
        </w:rPr>
      </w:pPr>
      <w:r w:rsidRPr="0045346B">
        <w:rPr>
          <w:rFonts w:eastAsia="Times New Roman"/>
          <w:sz w:val="24"/>
          <w:szCs w:val="24"/>
          <w:lang w:val="ru-RU" w:eastAsia="ru-RU"/>
        </w:rPr>
        <w:t>__________________________________</w:t>
      </w:r>
    </w:p>
    <w:p w:rsidR="0045346B" w:rsidRPr="0045346B" w:rsidRDefault="0045346B" w:rsidP="0045346B">
      <w:pPr>
        <w:ind w:right="214"/>
        <w:jc w:val="right"/>
        <w:rPr>
          <w:rFonts w:eastAsia="Times New Roman"/>
          <w:sz w:val="20"/>
          <w:szCs w:val="20"/>
          <w:lang w:val="ru-RU" w:eastAsia="ru-RU"/>
        </w:rPr>
      </w:pPr>
      <w:r w:rsidRPr="0045346B">
        <w:rPr>
          <w:rFonts w:eastAsia="Times New Roman"/>
          <w:sz w:val="20"/>
          <w:szCs w:val="20"/>
          <w:lang w:val="ru-RU" w:eastAsia="ru-RU"/>
        </w:rPr>
        <w:t>(наименование местного исполнительного и</w:t>
      </w:r>
    </w:p>
    <w:p w:rsidR="0045346B" w:rsidRPr="0045346B" w:rsidRDefault="0045346B" w:rsidP="0045346B">
      <w:pPr>
        <w:ind w:right="12" w:firstLine="4394"/>
        <w:jc w:val="right"/>
        <w:rPr>
          <w:rFonts w:eastAsia="Times New Roman"/>
          <w:sz w:val="20"/>
          <w:szCs w:val="20"/>
          <w:lang w:val="ru-RU" w:eastAsia="ru-RU"/>
        </w:rPr>
      </w:pPr>
      <w:r w:rsidRPr="0045346B">
        <w:rPr>
          <w:rFonts w:eastAsia="Times New Roman"/>
          <w:sz w:val="20"/>
          <w:szCs w:val="20"/>
          <w:lang w:val="ru-RU" w:eastAsia="ru-RU"/>
        </w:rPr>
        <w:t>распорядительного органа, администрации парка)</w:t>
      </w:r>
    </w:p>
    <w:p w:rsidR="0045346B" w:rsidRPr="0045346B" w:rsidRDefault="0045346B" w:rsidP="0045346B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45346B">
        <w:rPr>
          <w:rFonts w:eastAsia="Times New Roman"/>
          <w:b/>
          <w:bCs/>
          <w:sz w:val="24"/>
          <w:szCs w:val="24"/>
          <w:lang w:val="ru-RU" w:eastAsia="ru-RU"/>
        </w:rPr>
        <w:t>ЗАЯВЛЕНИЕ</w:t>
      </w:r>
      <w:r w:rsidRPr="0045346B">
        <w:rPr>
          <w:rFonts w:eastAsia="Times New Roman"/>
          <w:b/>
          <w:bCs/>
          <w:sz w:val="24"/>
          <w:szCs w:val="24"/>
          <w:lang w:val="ru-RU" w:eastAsia="ru-RU"/>
        </w:rPr>
        <w:br/>
        <w:t>на переоформление разрешения на размещение средства наружной рекламы</w:t>
      </w:r>
    </w:p>
    <w:p w:rsidR="006710CD" w:rsidRPr="00EF7629" w:rsidRDefault="006710CD" w:rsidP="006710CD">
      <w:pPr>
        <w:ind w:left="1429" w:right="19" w:firstLine="11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710CD" w:rsidRDefault="006710CD" w:rsidP="006710CD">
      <w:pPr>
        <w:ind w:left="567" w:right="19"/>
        <w:jc w:val="center"/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</w:p>
    <w:p w:rsidR="006710CD" w:rsidRPr="00EF7629" w:rsidRDefault="006710CD" w:rsidP="006710CD">
      <w:pPr>
        <w:ind w:left="567"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_________________________________________________________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Pr="00106224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(код)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6710CD" w:rsidRPr="00106224" w:rsidRDefault="006710CD" w:rsidP="006710CD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организация, индивидуальный предприниматель, нотариус, адвокат либо гражданин,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 (нужное подчеркнуть);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(да/нет)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</w:p>
    <w:p w:rsidR="00FB0C14" w:rsidRPr="00F9703E" w:rsidRDefault="00FB0C14" w:rsidP="006710CD">
      <w:pPr>
        <w:ind w:left="709" w:firstLine="284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я о средстве наружной рекламы:</w:t>
      </w:r>
    </w:p>
    <w:p w:rsidR="00FB0C14" w:rsidRPr="00F9703E" w:rsidRDefault="00AE7DAA" w:rsidP="006710CD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вид средства наружной рекламы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6710CD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>адрес (адресные ориентиры) места размещения средства наружной р</w:t>
      </w:r>
      <w:r w:rsidR="00AE7DAA"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екламы </w:t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площадь рекламного поля (при наличии), кв. метров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размещается ли на недвижимых материальных историко-культурных ценностях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категории «0», «1», «2» или без категории, их территориях и в зонах их охраны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(да/нет)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Основание для переоформления разрешения:</w:t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изменение формы паспорта средства наружной рекламы в связи с изменением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законодательства, если иное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не предусмотрено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законодательством (да/нет),</w:t>
      </w:r>
    </w:p>
    <w:p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переход права собственности, хозяйственного ведения или оперативного управления  на средство наружной рекламы к другому рекламораспространителю (да/нет)</w:t>
      </w:r>
    </w:p>
    <w:p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448FA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модернизация средства наружной рекламы, в результате которой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lastRenderedPageBreak/>
        <w:t xml:space="preserve">изменяется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вид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средства наружной рекламы и (или) в допустимых размерах площадь его рекламного поля (да/нет),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договоре на размещение средства наружной рекламы:</w:t>
      </w:r>
    </w:p>
    <w:p w:rsidR="000448FA" w:rsidRPr="00F9703E" w:rsidRDefault="000448F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договора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заключения договора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переоформляемом разрешении:</w:t>
      </w:r>
    </w:p>
    <w:p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утверждения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 окончания действия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8B66C2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8C0DE8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 внесении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платы,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взимаемой</w:t>
      </w:r>
      <w:r w:rsidRPr="00F9703E">
        <w:rPr>
          <w:rFonts w:asciiTheme="majorHAnsi" w:hAnsiTheme="majorHAnsi" w:cstheme="majorHAnsi"/>
          <w:color w:val="000000"/>
          <w:spacing w:val="109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осуществлении</w:t>
      </w:r>
      <w:r w:rsidRPr="00F9703E">
        <w:rPr>
          <w:rFonts w:asciiTheme="majorHAnsi" w:hAnsiTheme="majorHAnsi" w:cstheme="majorHAnsi"/>
          <w:color w:val="000000"/>
          <w:spacing w:val="11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административной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процедуры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 выдаче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разрешения,</w:t>
      </w:r>
      <w:r w:rsidRPr="00F9703E">
        <w:rPr>
          <w:rFonts w:asciiTheme="majorHAnsi" w:hAnsiTheme="majorHAnsi" w:cstheme="majorHAnsi"/>
          <w:color w:val="000000"/>
          <w:spacing w:val="31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если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такая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внесена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посредством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использования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автоматизированной</w:t>
      </w:r>
      <w:r w:rsidRPr="00F9703E">
        <w:rPr>
          <w:rFonts w:asciiTheme="majorHAnsi" w:hAnsiTheme="majorHAnsi" w:cstheme="majorHAnsi"/>
          <w:color w:val="000000"/>
          <w:spacing w:val="47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информационной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системы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единого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расчетного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 информационного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пространства: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внесения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платежа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сумма,</w:t>
      </w:r>
      <w:r w:rsidRPr="00F9703E">
        <w:rPr>
          <w:rFonts w:asciiTheme="majorHAnsi" w:hAnsiTheme="majorHAnsi" w:cstheme="majorHAnsi"/>
          <w:color w:val="000000"/>
          <w:spacing w:val="37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рублей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69303C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К заявлению прилагаются документы на ____ листах:</w:t>
      </w:r>
      <w:r w:rsidR="008B66C2"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69303C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>_______________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  <w:t>___________________________</w:t>
      </w:r>
    </w:p>
    <w:p w:rsidR="000F7FB3" w:rsidRPr="005E67CC" w:rsidRDefault="005E67CC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(подпись)</w:t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(фамилия, инициалы)</w:t>
      </w: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8C0DE8" w:rsidRPr="00F9703E" w:rsidRDefault="008B66C2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____________________________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___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</w:p>
    <w:p w:rsidR="008C0DE8" w:rsidRPr="005E67CC" w:rsidRDefault="005E67CC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(дата подачи заявления) </w:t>
      </w:r>
    </w:p>
    <w:p w:rsidR="004659A7" w:rsidRPr="00F9703E" w:rsidRDefault="004659A7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0F7FB3" w:rsidRPr="00F9703E" w:rsidRDefault="000F7FB3" w:rsidP="00F9703E">
      <w:pPr>
        <w:pStyle w:val="ConsPlusNonforma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9703E">
        <w:rPr>
          <w:rFonts w:asciiTheme="majorHAnsi" w:hAnsiTheme="majorHAnsi" w:cstheme="majorHAnsi"/>
          <w:sz w:val="28"/>
          <w:szCs w:val="28"/>
        </w:rPr>
        <w:t>Исполнитель:</w:t>
      </w:r>
    </w:p>
    <w:p w:rsidR="000F7FB3" w:rsidRDefault="000F7FB3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sz w:val="28"/>
          <w:szCs w:val="28"/>
          <w:lang w:val="ru-RU"/>
        </w:rPr>
        <w:t>Конт. телефон:</w:t>
      </w: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Pr="00EF7629" w:rsidRDefault="00737CD5" w:rsidP="00737CD5">
      <w:pPr>
        <w:ind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1649F8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lastRenderedPageBreak/>
        <w:t>А/П 8.13.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 xml:space="preserve">3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45346B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Ветковский 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районный </w:t>
      </w:r>
    </w:p>
    <w:p w:rsidR="00737CD5" w:rsidRPr="00EF7629" w:rsidRDefault="0045346B" w:rsidP="00737CD5">
      <w:pPr>
        <w:ind w:left="5760" w:right="17" w:firstLine="720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</w:t>
      </w:r>
      <w:r w:rsidR="00737CD5"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исполнительный комитет </w:t>
      </w:r>
    </w:p>
    <w:p w:rsidR="00737CD5" w:rsidRPr="00AF4AB1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45346B" w:rsidRDefault="0045346B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737CD5" w:rsidRPr="00F9703E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ЗАЯВЛЕНИЕ</w:t>
      </w:r>
    </w:p>
    <w:p w:rsidR="00737CD5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на перео</w:t>
      </w:r>
      <w:r w:rsidRPr="00F9703E">
        <w:rPr>
          <w:rFonts w:asciiTheme="majorHAnsi" w:hAnsiTheme="majorHAnsi" w:cstheme="majorHAnsi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 xml:space="preserve">ормление разрешения на размещение </w:t>
      </w:r>
    </w:p>
    <w:p w:rsidR="00737CD5" w:rsidRDefault="00737CD5" w:rsidP="00737CD5">
      <w:pPr>
        <w:ind w:right="19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средства наружной рекламы</w:t>
      </w:r>
    </w:p>
    <w:p w:rsidR="00737CD5" w:rsidRPr="00AF4AB1" w:rsidRDefault="00737CD5" w:rsidP="00737CD5">
      <w:pPr>
        <w:ind w:right="19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F46F06" w:rsidRDefault="00737CD5" w:rsidP="00737CD5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рекламораспространителе:</w:t>
      </w:r>
      <w:r w:rsidRPr="00F46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CD5" w:rsidRPr="00AF4AB1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F46F06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ИП Иванов И.И.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737CD5" w:rsidRPr="00F46F06" w:rsidRDefault="00737CD5" w:rsidP="00737CD5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37CD5" w:rsidRPr="008851D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учетный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плательщика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УНП  490100100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</w:t>
      </w:r>
    </w:p>
    <w:p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г. Ветка, ул. Мира, 1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:rsidR="00737CD5" w:rsidRPr="00AF4AB1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u w:val="single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+375 (29) 301 01 01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</w:t>
      </w:r>
    </w:p>
    <w:p w:rsidR="00737CD5" w:rsidRPr="00D15DA9" w:rsidRDefault="00737CD5" w:rsidP="00737CD5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организация, </w:t>
      </w:r>
      <w:r w:rsidRPr="00D15DA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индивидуальный предприниматель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нотариус, адвокат либо гражданин,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 (нужное подчеркнуть);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CD5" w:rsidRPr="00303522" w:rsidRDefault="00737CD5" w:rsidP="00737CD5">
      <w:pPr>
        <w:ind w:right="5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(да/нет)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F4AB1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D15DA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нет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</w:t>
      </w:r>
    </w:p>
    <w:p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я о средстве наружной рекламы: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Настенная рекламная конструкция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</w:t>
      </w:r>
    </w:p>
    <w:p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303522" w:rsidRDefault="00737CD5" w:rsidP="00737CD5">
      <w:pPr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 (адресные ориентиры) места размещения средства наружной 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екламы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</w:pP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г. Ветка, ул. Луначарского, 11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______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3,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5 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размещается ли на недвижимых материальных историко-культурных ценностях категории «0», «1», «2» или без категории, их территориях и в зонах их охраны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</w:p>
    <w:p w:rsidR="00737CD5" w:rsidRPr="00303522" w:rsidRDefault="00737CD5" w:rsidP="00737CD5">
      <w:pPr>
        <w:ind w:right="502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 для переоформления разрешения: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изменение формы паспорта средства наружной рекламы в связи с изменением законодательства, если иное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 предусмотрено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 (да/нет),</w:t>
      </w:r>
    </w:p>
    <w:p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 права собственности, хозяйственного ведения или оперативного управления  на средство наружной рекламы к другому рекламораспространителю (да/нет)</w:t>
      </w:r>
    </w:p>
    <w:p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да                                 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модернизация средства наружной рекламы, в результате которой изменяется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вид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средства наружной рекламы и (или) в допустимых размерах площадь его рекламного поля (да/нет),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</w:t>
      </w:r>
    </w:p>
    <w:p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 договора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 150-20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21.12.2020 г.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 180-20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утверждения разрешения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21.12.2020 г.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окончания действия разрешения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20.12.2023 г.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</w:t>
      </w:r>
    </w:p>
    <w:p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7CD5" w:rsidRPr="00EF7629" w:rsidRDefault="00737CD5" w:rsidP="00737CD5">
      <w:pPr>
        <w:ind w:left="567"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63640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28.10.2021г.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63640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 405 от 28.10.2021г.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25585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1000 рублей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</w:t>
      </w:r>
    </w:p>
    <w:p w:rsidR="00737CD5" w:rsidRPr="00303522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заявлению прилагаются документы 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C25585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4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303522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(подпись)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инициалы)</w:t>
      </w:r>
    </w:p>
    <w:p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(дата подачи заявления) </w:t>
      </w: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Pr="000F7FB3" w:rsidRDefault="00737CD5" w:rsidP="00737C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Конт. телефон:</w:t>
      </w:r>
    </w:p>
    <w:p w:rsidR="00737CD5" w:rsidRPr="00F9703E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sectPr w:rsidR="00737CD5" w:rsidRPr="00F9703E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</w:compat>
  <w:rsids>
    <w:rsidRoot w:val="008C0DE8"/>
    <w:rsid w:val="000448FA"/>
    <w:rsid w:val="00095916"/>
    <w:rsid w:val="000B13ED"/>
    <w:rsid w:val="000F7FB3"/>
    <w:rsid w:val="00337832"/>
    <w:rsid w:val="0045346B"/>
    <w:rsid w:val="004659A7"/>
    <w:rsid w:val="00502BA7"/>
    <w:rsid w:val="005E67CC"/>
    <w:rsid w:val="005F7112"/>
    <w:rsid w:val="00631FC2"/>
    <w:rsid w:val="006710CD"/>
    <w:rsid w:val="0069303C"/>
    <w:rsid w:val="00737CD5"/>
    <w:rsid w:val="008851D3"/>
    <w:rsid w:val="008B66C2"/>
    <w:rsid w:val="008C0DE8"/>
    <w:rsid w:val="009A388C"/>
    <w:rsid w:val="00AE7DAA"/>
    <w:rsid w:val="00D6523A"/>
    <w:rsid w:val="00EF7629"/>
    <w:rsid w:val="00F53F6B"/>
    <w:rsid w:val="00F5615B"/>
    <w:rsid w:val="00F77652"/>
    <w:rsid w:val="00F9703E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916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095916"/>
  </w:style>
  <w:style w:type="paragraph" w:customStyle="1" w:styleId="TableParagraph">
    <w:name w:val="Table Paragraph"/>
    <w:basedOn w:val="a"/>
    <w:uiPriority w:val="1"/>
    <w:qFormat/>
    <w:rsid w:val="00095916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7457-6994-44D6-B4A1-AC7EE8CF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2022-04-20T06:05:00Z</dcterms:created>
  <dcterms:modified xsi:type="dcterms:W3CDTF">2022-06-30T09:16:00Z</dcterms:modified>
</cp:coreProperties>
</file>